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042"/>
      </w:tblGrid>
      <w:tr w:rsidR="002F6D62" w:rsidRPr="002F6D62" w:rsidTr="002F6D62">
        <w:trPr>
          <w:tblCellSpacing w:w="0" w:type="dxa"/>
        </w:trPr>
        <w:tc>
          <w:tcPr>
            <w:tcW w:w="9000" w:type="dxa"/>
            <w:vAlign w:val="center"/>
            <w:hideMark/>
          </w:tcPr>
          <w:p w:rsidR="002F6D62" w:rsidRPr="002F6D62" w:rsidRDefault="00566ABA" w:rsidP="002F6D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>
              <w:fldChar w:fldCharType="begin"/>
            </w:r>
            <w:r>
              <w:instrText>HYPERLINK "http://www.mamnon.com/newsDetails.aspx?topicID=61025"</w:instrText>
            </w:r>
            <w:r>
              <w:fldChar w:fldCharType="separate"/>
            </w:r>
            <w:proofErr w:type="spellStart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Phân</w:t>
            </w:r>
            <w:proofErr w:type="spellEnd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biệt</w:t>
            </w:r>
            <w:proofErr w:type="spellEnd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còi</w:t>
            </w:r>
            <w:proofErr w:type="spellEnd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xương</w:t>
            </w:r>
            <w:proofErr w:type="spellEnd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và</w:t>
            </w:r>
            <w:proofErr w:type="spellEnd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suy</w:t>
            </w:r>
            <w:proofErr w:type="spellEnd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dinh</w:t>
            </w:r>
            <w:proofErr w:type="spellEnd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2F6D62" w:rsidRPr="002F6D62">
              <w:rPr>
                <w:rFonts w:eastAsia="Times New Roman" w:cs="Times New Roman"/>
                <w:b/>
                <w:bCs/>
                <w:color w:val="FF0000"/>
                <w:sz w:val="36"/>
                <w:szCs w:val="36"/>
              </w:rPr>
              <w:t>dưỡng</w:t>
            </w:r>
            <w:proofErr w:type="spellEnd"/>
            <w:r>
              <w:fldChar w:fldCharType="end"/>
            </w:r>
          </w:p>
        </w:tc>
      </w:tr>
      <w:tr w:rsidR="002F6D62" w:rsidRPr="002F6D62" w:rsidTr="002F6D62">
        <w:trPr>
          <w:tblCellSpacing w:w="0" w:type="dxa"/>
        </w:trPr>
        <w:tc>
          <w:tcPr>
            <w:tcW w:w="0" w:type="auto"/>
            <w:vAlign w:val="center"/>
            <w:hideMark/>
          </w:tcPr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bookmarkStart w:id="0" w:name="_GoBack"/>
            <w:bookmarkEnd w:id="0"/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ở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trẻ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nhỏ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2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vấn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đề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riêng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rẽ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nhưng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lại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thường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nhầm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lẫn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1.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Làm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thế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nào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để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xác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được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trẻ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đang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hay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đang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?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Mẹ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nhớ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điểm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qua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những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so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sánh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dưới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đây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nhé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!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nghĩ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rất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nhiều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nghĩa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ngược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lại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bạn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nhỏ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chậm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tăng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cân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chậm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phát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triển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chiều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cao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thân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hình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hơi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khẳng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khiu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chút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dễ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gắn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“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”.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rất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biệt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cần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xử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lý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nhau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2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vấn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đề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này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FF0000"/>
                <w:szCs w:val="28"/>
              </w:rPr>
            </w:pPr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“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Đọc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vị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”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tình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trạng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xương</w:t>
            </w:r>
            <w:proofErr w:type="spellEnd"/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rối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loạn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xảy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thiếu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canxi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phốt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pho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hoặc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vitamin D.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thường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mềm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yếu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chậm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phát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triển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chiều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cao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trường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hợp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nặng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Tình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này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xảy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nhiều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nhất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ở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6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36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đây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giai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đoạn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phát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triển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rất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nhanh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cầu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lớn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proofErr w:type="gramStart"/>
            <w:r w:rsidRPr="002F6D62">
              <w:rPr>
                <w:rFonts w:eastAsia="Times New Roman" w:cs="Times New Roman"/>
                <w:color w:val="000000"/>
                <w:szCs w:val="28"/>
              </w:rPr>
              <w:t>dễ</w:t>
            </w:r>
            <w:proofErr w:type="spellEnd"/>
            <w:proofErr w:type="gram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thiếu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hụt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2F6D62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proofErr w:type="gram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chay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hoặc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ít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món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trứng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sữa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hay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hải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sản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sẽ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dễ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hơn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chế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độ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đầy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đủ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chỉ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bú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tắm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nắng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hay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uống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bổ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sung vitamin D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cũng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nằm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nhóm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nguy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cơ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vì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sữa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đảm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bảo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cung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cấp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đầy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đủ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cầu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vitamin D.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Màu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cũng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yếu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tố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làm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tăng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khả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năng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màu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tối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thì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việc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tắm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nắng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ít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hiệu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quả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hơn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làn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màu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kết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quả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truyền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mắc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này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thì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thận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hấp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thụ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phốt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pho.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phòng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ngừa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hiệu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2F6D62">
              <w:rPr>
                <w:rFonts w:eastAsia="Times New Roman" w:cs="Times New Roman"/>
                <w:color w:val="000000"/>
                <w:szCs w:val="28"/>
              </w:rPr>
              <w:t>quả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 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bao</w:t>
            </w:r>
            <w:proofErr w:type="spellEnd"/>
            <w:proofErr w:type="gram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gồm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việc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bổ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sung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đầy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đủ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canxi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phốt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pho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vitamin D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FF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Khi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nào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được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gọi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là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?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thường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cân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nặng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chiều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cao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thấp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hơn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bạn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đồng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trang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lứa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đồng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thời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cũng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mắc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2F6D62">
              <w:rPr>
                <w:rFonts w:eastAsia="Times New Roman" w:cs="Times New Roman"/>
                <w:noProof/>
                <w:color w:val="000000"/>
                <w:szCs w:val="28"/>
              </w:rPr>
              <w:drawing>
                <wp:inline distT="0" distB="0" distL="0" distR="0">
                  <wp:extent cx="6267450" cy="2886075"/>
                  <wp:effectExtent l="0" t="0" r="0" b="9525"/>
                  <wp:docPr id="1" name="Picture 1" descr="http://namyangi.com.vn/dataweb/images/coi-xuong-va-suy-dinh-duo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myangi.com.vn/dataweb/images/coi-xuong-va-suy-dinh-duo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0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</w:p>
          <w:p w:rsidR="00FF35F3" w:rsidRDefault="00FF35F3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lastRenderedPageBreak/>
              <w:t>Biểu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chung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chiều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cao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cân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nặng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tụt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lại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so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bạn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đồng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trang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lứa</w:t>
            </w:r>
            <w:proofErr w:type="spellEnd"/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thường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biểu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như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gầy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chiều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cao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cân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nặng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ít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hơn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bạn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cùng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trang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lứa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cũng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thường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vẻ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xanh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xao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kém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bát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chậm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mọc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răng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khô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giác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bị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quáng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gà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…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trường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hợp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nặng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dẫn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phù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thũng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thiếu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máu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nhiều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vấn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đề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sức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khỏe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xảy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do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chế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độ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không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đảm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bảo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đầy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đủ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hoặc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do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quá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biếng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Việc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thay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đổi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chế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độ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uống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bổ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sung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như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kẽm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vitamin D, lysine,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bổ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sung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lợi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khuẩn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đường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ruột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thêm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xơ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cải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thiện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tình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hình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FF0000"/>
                <w:szCs w:val="28"/>
              </w:rPr>
            </w:pPr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So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sánh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FF0000"/>
                <w:szCs w:val="28"/>
              </w:rPr>
              <w:t>dưỡng</w:t>
            </w:r>
            <w:proofErr w:type="spellEnd"/>
          </w:p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Nếu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vẫn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chưa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rõ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ràng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khái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niệm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hay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theo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dõi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sức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khỏe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tốt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hơn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thể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dựa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vào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bảng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so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sánh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dưới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đây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phân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biệt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808"/>
              <w:gridCol w:w="4218"/>
            </w:tblGrid>
            <w:tr w:rsidR="002F6D62" w:rsidRPr="002F6D62" w:rsidTr="002F6D6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b/>
                      <w:bCs/>
                      <w:color w:val="FF0000"/>
                      <w:szCs w:val="28"/>
                    </w:rPr>
                    <w:t>Còi</w:t>
                  </w:r>
                  <w:proofErr w:type="spellEnd"/>
                  <w:r w:rsidRPr="002F6D62">
                    <w:rPr>
                      <w:rFonts w:eastAsia="Times New Roman" w:cs="Times New Roman"/>
                      <w:b/>
                      <w:bCs/>
                      <w:color w:val="FF0000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b/>
                      <w:bCs/>
                      <w:color w:val="FF0000"/>
                      <w:szCs w:val="28"/>
                    </w:rPr>
                    <w:t>xương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b/>
                      <w:bCs/>
                      <w:color w:val="FF0000"/>
                      <w:szCs w:val="28"/>
                    </w:rPr>
                    <w:t>Suy</w:t>
                  </w:r>
                  <w:proofErr w:type="spellEnd"/>
                  <w:r w:rsidRPr="002F6D62">
                    <w:rPr>
                      <w:rFonts w:eastAsia="Times New Roman" w:cs="Times New Roman"/>
                      <w:b/>
                      <w:bCs/>
                      <w:color w:val="FF0000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b/>
                      <w:bCs/>
                      <w:color w:val="FF0000"/>
                      <w:szCs w:val="28"/>
                    </w:rPr>
                    <w:t>dinh</w:t>
                  </w:r>
                  <w:proofErr w:type="spellEnd"/>
                  <w:r w:rsidRPr="002F6D62">
                    <w:rPr>
                      <w:rFonts w:eastAsia="Times New Roman" w:cs="Times New Roman"/>
                      <w:b/>
                      <w:bCs/>
                      <w:color w:val="FF0000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b/>
                      <w:bCs/>
                      <w:color w:val="FF0000"/>
                      <w:szCs w:val="28"/>
                    </w:rPr>
                    <w:t>dưỡng</w:t>
                  </w:r>
                  <w:proofErr w:type="spellEnd"/>
                </w:p>
              </w:tc>
            </w:tr>
            <w:tr w:rsidR="002F6D62" w:rsidRPr="002F6D62" w:rsidTr="002F6D6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Xuất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hiện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ở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cả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trẻ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gầy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và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trẻ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mập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mạp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(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còi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xương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thể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bụ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bẫm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>).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Thường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ở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các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bé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gầy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và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thấp</w:t>
                  </w:r>
                  <w:proofErr w:type="spellEnd"/>
                </w:p>
              </w:tc>
            </w:tr>
            <w:tr w:rsidR="002F6D62" w:rsidRPr="002F6D62" w:rsidTr="002F6D6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Thường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xảy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ra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ở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trẻ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6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đến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36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tháng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Xảy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ra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ở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mọi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lứa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tuổi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</w:tr>
            <w:tr w:rsidR="002F6D62" w:rsidRPr="002F6D62" w:rsidTr="002F6D6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Trẻ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sơ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sinh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có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thóp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rộng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lâu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đóng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đầu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bẹp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hoặc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có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trán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dô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cao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Suy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dinh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dưỡng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có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thể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bao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gồm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hoặc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không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có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các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dấu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hiệu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của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còi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xương</w:t>
                  </w:r>
                  <w:proofErr w:type="spellEnd"/>
                </w:p>
              </w:tc>
            </w:tr>
            <w:tr w:rsidR="002F6D62" w:rsidRPr="002F6D62" w:rsidTr="002F6D6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Bé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khó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ngủ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trằn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trọc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hay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đổ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mồ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hôi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trong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lúc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ngủ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Các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bé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suy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dinh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dưỡng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không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kèm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theo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còi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xương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có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thể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sẽ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không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bị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khó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ngủ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</w:tr>
            <w:tr w:rsidR="002F6D62" w:rsidRPr="002F6D62" w:rsidTr="002F6D6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Giữa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các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xương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sườn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nổi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lên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khối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gồ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tạo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thành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“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chuỗi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hạt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sườn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Không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có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chuỗi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hạt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sườn</w:t>
                  </w:r>
                  <w:proofErr w:type="spellEnd"/>
                </w:p>
              </w:tc>
            </w:tr>
            <w:tr w:rsidR="002F6D62" w:rsidRPr="002F6D62" w:rsidTr="002F6D6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Xương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giòn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dễ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gãy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có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vòng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xương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ở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cổ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tay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cổ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chân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.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Chân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bị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vòng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kiềng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(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chữ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O)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hoặc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chữ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Chân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bị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vòng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kiềng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(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chữ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O)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hoặc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chữ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X</w:t>
                  </w:r>
                </w:p>
              </w:tc>
            </w:tr>
            <w:tr w:rsidR="002F6D62" w:rsidRPr="002F6D62" w:rsidTr="002F6D6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Cơ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nhão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dẫn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đến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chậm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phát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triển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kỹ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năng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vận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động.Chậm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phát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triển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kỹ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năng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vận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động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và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khả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năng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nhận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thức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Suy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dinh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dưỡng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không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kèm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còi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xương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thì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chân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tay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và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xương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không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bị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biến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dạng</w:t>
                  </w:r>
                  <w:proofErr w:type="spellEnd"/>
                </w:p>
              </w:tc>
            </w:tr>
            <w:tr w:rsidR="002F6D62" w:rsidRPr="002F6D62" w:rsidTr="002F6D6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r w:rsidRPr="002F6D62">
                    <w:rPr>
                      <w:rFonts w:eastAsia="Times New Roman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Giảm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sức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đề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kháng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dễ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mắc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bệnh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hô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hấp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bệnh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về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mắt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</w:tr>
            <w:tr w:rsidR="002F6D62" w:rsidRPr="002F6D62" w:rsidTr="002F6D62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Điều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trị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bằng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cách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bổ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sung vitamin D,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canxi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và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phốt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pho.</w:t>
                  </w:r>
                </w:p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Trường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hợp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nặng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bé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cần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được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tập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vật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lý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trị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liệu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và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chấn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thương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chỉnh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hình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r w:rsidRPr="002F6D62">
                    <w:rPr>
                      <w:rFonts w:eastAsia="Times New Roman"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F6D62" w:rsidRPr="002F6D62" w:rsidRDefault="002F6D62" w:rsidP="002F6D62">
                  <w:pPr>
                    <w:spacing w:after="0" w:line="240" w:lineRule="auto"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Cần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thay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đổi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toàn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bộ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chế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độ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dinh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dưỡng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,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vận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động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và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ngủ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2F6D62">
                    <w:rPr>
                      <w:rFonts w:eastAsia="Times New Roman" w:cs="Times New Roman"/>
                      <w:szCs w:val="28"/>
                    </w:rPr>
                    <w:t>nghỉ</w:t>
                  </w:r>
                  <w:proofErr w:type="spellEnd"/>
                  <w:r w:rsidRPr="002F6D62">
                    <w:rPr>
                      <w:rFonts w:eastAsia="Times New Roman" w:cs="Times New Roman"/>
                      <w:szCs w:val="28"/>
                    </w:rPr>
                    <w:t>.</w:t>
                  </w:r>
                </w:p>
              </w:tc>
            </w:tr>
          </w:tbl>
          <w:p w:rsidR="002F6D62" w:rsidRPr="002F6D62" w:rsidRDefault="002F6D62" w:rsidP="002F6D62">
            <w:pPr>
              <w:spacing w:after="0" w:line="27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Cả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còi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xương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suy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dưỡng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đều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vấn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đề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ảnh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hưởng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nghiêm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trọng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sức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khỏe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.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giúp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con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phòng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ngừa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hai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vấn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đề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này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mẹ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nên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trẻ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kiểm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tra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sức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khỏe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định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kỳ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thường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xuyên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có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chế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độ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2F6D62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proofErr w:type="gram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uống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sinh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hợp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lý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để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tạo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đà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phát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triển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hợp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6D62">
              <w:rPr>
                <w:rFonts w:eastAsia="Times New Roman" w:cs="Times New Roman"/>
                <w:color w:val="000000"/>
                <w:szCs w:val="28"/>
              </w:rPr>
              <w:t>lý</w:t>
            </w:r>
            <w:proofErr w:type="spellEnd"/>
            <w:r w:rsidRPr="002F6D62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:rsidR="002F6D62" w:rsidRPr="002F6D62" w:rsidRDefault="002F6D62" w:rsidP="002F6D62">
            <w:pPr>
              <w:spacing w:after="0" w:line="270" w:lineRule="atLeast"/>
              <w:jc w:val="right"/>
              <w:rPr>
                <w:rFonts w:eastAsia="Times New Roman" w:cs="Times New Roman"/>
                <w:color w:val="000000"/>
                <w:szCs w:val="28"/>
              </w:rPr>
            </w:pPr>
          </w:p>
          <w:p w:rsidR="002F6D62" w:rsidRPr="002F6D62" w:rsidRDefault="002F6D62" w:rsidP="002F6D62">
            <w:pPr>
              <w:spacing w:after="0" w:line="270" w:lineRule="atLeast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Theo </w:t>
            </w:r>
            <w:proofErr w:type="spellStart"/>
            <w:r w:rsidRPr="002F6D62">
              <w:rPr>
                <w:rFonts w:eastAsia="Times New Roman" w:cs="Times New Roman"/>
                <w:b/>
                <w:bCs/>
                <w:color w:val="000000"/>
                <w:szCs w:val="28"/>
              </w:rPr>
              <w:t>Marrybaby</w:t>
            </w:r>
            <w:proofErr w:type="spellEnd"/>
          </w:p>
          <w:p w:rsidR="002F6D62" w:rsidRPr="002F6D62" w:rsidRDefault="002F6D62" w:rsidP="002F6D6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2F6D62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</w:tc>
      </w:tr>
      <w:tr w:rsidR="002F6D62" w:rsidRPr="002F6D62" w:rsidTr="002F6D62">
        <w:trPr>
          <w:tblCellSpacing w:w="0" w:type="dxa"/>
        </w:trPr>
        <w:tc>
          <w:tcPr>
            <w:tcW w:w="0" w:type="auto"/>
            <w:vAlign w:val="center"/>
          </w:tcPr>
          <w:p w:rsidR="002F6D62" w:rsidRDefault="002F6D62" w:rsidP="002F6D62">
            <w:pPr>
              <w:spacing w:after="0" w:line="270" w:lineRule="atLeast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</w:tbl>
    <w:p w:rsidR="004F010C" w:rsidRPr="002F6D62" w:rsidRDefault="004F010C" w:rsidP="002F6D62">
      <w:pPr>
        <w:ind w:right="-988"/>
        <w:rPr>
          <w:rFonts w:cs="Times New Roman"/>
          <w:szCs w:val="28"/>
        </w:rPr>
      </w:pPr>
    </w:p>
    <w:sectPr w:rsidR="004F010C" w:rsidRPr="002F6D62" w:rsidSect="00FF35F3">
      <w:pgSz w:w="12240" w:h="15840"/>
      <w:pgMar w:top="568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6D62"/>
    <w:rsid w:val="002F6D62"/>
    <w:rsid w:val="004F010C"/>
    <w:rsid w:val="00527A59"/>
    <w:rsid w:val="00566ABA"/>
    <w:rsid w:val="00B469BB"/>
    <w:rsid w:val="00FF3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dell</cp:lastModifiedBy>
  <cp:revision>3</cp:revision>
  <dcterms:created xsi:type="dcterms:W3CDTF">2017-07-05T03:16:00Z</dcterms:created>
  <dcterms:modified xsi:type="dcterms:W3CDTF">2017-07-05T03:31:00Z</dcterms:modified>
</cp:coreProperties>
</file>